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12152625816630005B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化德县审计服务中心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化德县审计服务中心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负责培训全县各单位部门财务人员和财务管理人员的业务知识，负责培训内部审计人员的业务知识。负责编写各种审计教材和学术研究。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化德县财政局办公楼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张建东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化德县审计局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无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23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截止到2022年12月，共查出管理不规范资金274万元。包括（一）经济责任审计中发现的问题金额254.4万元，表现为：1、固定资产购入不入账37万元。2、不合规票据列支慰问金、诉讼费使用定额发票列支无具体领取人姓名和签字3.9万元。3、挤占非四类住房维修工程0.9万元；军转专户存量资金结余两年以上资金21.7万元。4、账实不符，库管人员材料入库相关单据未及时送达财务部门进行处理，造成账实不符29万元。5、违规报销差旅费0.3万元。6、其他应收账款长期挂账74万元。7、账务处理不符合行政事业单位财务规则80万元。8、罚没收入未计入账户核算4万元。9、违规使用发票3.6万元。（二）预算执行情况审计中发现的问题金额13.6万元，表现为：未缴纳国有资产处置收入13.6万元 。（三） 财政、财务收支审计发现的问题金额6万元，表现为：购买固定资产、无形资产未登记入账6万元。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绩效突出，无受奖惩及诉讼投诉情况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石祥裕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15848476191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2023年03月10日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