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4"/>
          <w:b/>
          <w:bCs/>
          <w:sz w:val="30"/>
          <w:szCs w:val="30"/>
          <w:lang w:val="en-US"/>
        </w:rPr>
        <w:t>12152627MB1H01633W</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4"/>
          <w:b/>
          <w:bCs/>
          <w:sz w:val="30"/>
          <w:szCs w:val="30"/>
          <w:lang w:val="en-US"/>
        </w:rPr>
        <w:t>2021</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405" w:type="dxa"/>
            <w:shd w:val="clear" w:color="auto" w:fill="auto"/>
            <w:vAlign w:val="bottom"/>
          </w:tcPr>
          <w:p>
            <w:pPr>
              <w:jc w:val="distribute"/>
            </w:pPr>
            <w:r>
              <w:rPr>
                <w:rStyle w:val="5"/>
                <w:b/>
                <w:bCs/>
                <w:sz w:val="36"/>
                <w:szCs w:val="24"/>
              </w:rPr>
              <w:t>单 位 名 称</w:t>
            </w:r>
          </w:p>
        </w:tc>
        <w:tc>
          <w:tcPr>
            <w:tcW w:w="5294" w:type="dxa"/>
            <w:tcBorders>
              <w:top w:val="nil"/>
              <w:left w:val="nil"/>
              <w:bottom w:val="single" w:color="auto" w:sz="12" w:space="0"/>
              <w:right w:val="nil"/>
            </w:tcBorders>
            <w:shd w:val="clear" w:color="auto" w:fill="auto"/>
            <w:vAlign w:val="bottom"/>
          </w:tcPr>
          <w:p>
            <w:pPr>
              <w:jc w:val="center"/>
              <w:rPr>
                <w:rFonts w:hint="eastAsia" w:ascii="楷体_GB2312" w:eastAsia="楷体_GB2312" w:cs="楷体_GB2312"/>
                <w:sz w:val="32"/>
                <w:szCs w:val="24"/>
                <w:lang w:val="en-US"/>
              </w:rPr>
            </w:pPr>
            <w:r>
              <w:rPr>
                <w:rStyle w:val="6"/>
                <w:rFonts w:hint="eastAsia" w:ascii="楷体_GB2312" w:eastAsia="楷体_GB2312" w:cs="楷体_GB2312"/>
                <w:sz w:val="32"/>
                <w:szCs w:val="24"/>
                <w:lang w:val="en-US"/>
              </w:rPr>
              <w:t>兴和县公共资源交易中心</w:t>
            </w:r>
          </w:p>
        </w:tc>
      </w:tr>
    </w:tbl>
    <w:p>
      <w:pPr>
        <w:rPr>
          <w:rFonts w:hint="eastAsia" w:ascii="黑体" w:hAnsi="宋体" w:eastAsia="黑体" w:cs="黑体"/>
          <w:b/>
          <w:bCs/>
          <w:sz w:val="24"/>
          <w:szCs w:val="24"/>
          <w:u w:val="single"/>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365" w:type="dxa"/>
            <w:shd w:val="clear" w:color="auto" w:fill="auto"/>
            <w:vAlign w:val="bottom"/>
          </w:tcPr>
          <w:p>
            <w:pPr>
              <w:jc w:val="distribute"/>
            </w:pPr>
            <w:r>
              <w:rPr>
                <w:rStyle w:val="5"/>
                <w:b/>
                <w:bCs/>
                <w:sz w:val="36"/>
                <w:szCs w:val="24"/>
              </w:rPr>
              <w:t>法</w:t>
            </w:r>
            <w:r>
              <w:rPr>
                <w:rStyle w:val="5"/>
                <w:b/>
                <w:bCs/>
                <w:spacing w:val="30"/>
                <w:sz w:val="36"/>
                <w:szCs w:val="24"/>
              </w:rPr>
              <w:t>定代表</w:t>
            </w:r>
            <w:r>
              <w:rPr>
                <w:rStyle w:val="5"/>
                <w:b/>
                <w:bCs/>
                <w:sz w:val="36"/>
                <w:szCs w:val="24"/>
              </w:rPr>
              <w:t>人</w:t>
            </w:r>
          </w:p>
        </w:tc>
        <w:tc>
          <w:tcPr>
            <w:tcW w:w="5254" w:type="dxa"/>
            <w:tcBorders>
              <w:top w:val="nil"/>
              <w:left w:val="nil"/>
              <w:bottom w:val="single" w:color="auto" w:sz="12" w:space="0"/>
              <w:right w:val="nil"/>
            </w:tcBorders>
            <w:shd w:val="clear" w:color="auto" w:fill="auto"/>
            <w:vAlign w:val="bottom"/>
          </w:tcPr>
          <w:p>
            <w:pPr>
              <w:keepNext w:val="0"/>
              <w:keepLines w:val="0"/>
              <w:widowControl/>
              <w:suppressLineNumbers w:val="0"/>
              <w:jc w:val="left"/>
              <w:rPr>
                <w:kern w:val="0"/>
                <w:sz w:val="20"/>
                <w:szCs w:val="2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《事业</w:t>
            </w:r>
          </w:p>
          <w:p>
            <w:pPr>
              <w:jc w:val="center"/>
              <w:rPr>
                <w:rFonts w:eastAsia="楷体_GB2312"/>
                <w:b/>
                <w:bCs/>
                <w:sz w:val="32"/>
                <w:szCs w:val="24"/>
                <w:lang w:val="en-US"/>
              </w:rPr>
            </w:pPr>
            <w:r>
              <w:rPr>
                <w:rFonts w:hint="eastAsia" w:ascii="Times New Roman" w:eastAsia="楷体_GB2312" w:cs="楷体_GB2312"/>
                <w:b/>
                <w:bCs/>
                <w:sz w:val="32"/>
                <w:szCs w:val="24"/>
              </w:rPr>
              <w:t>单位</w:t>
            </w:r>
          </w:p>
          <w:p>
            <w:pPr>
              <w:jc w:val="center"/>
              <w:rPr>
                <w:rFonts w:eastAsia="楷体_GB2312"/>
                <w:b/>
                <w:bCs/>
                <w:sz w:val="32"/>
                <w:szCs w:val="24"/>
                <w:lang w:val="en-US"/>
              </w:rPr>
            </w:pPr>
            <w:r>
              <w:rPr>
                <w:rFonts w:hint="eastAsia" w:ascii="Times New Roman" w:eastAsia="楷体_GB2312" w:cs="楷体_GB2312"/>
                <w:b/>
                <w:bCs/>
                <w:sz w:val="32"/>
                <w:szCs w:val="24"/>
              </w:rPr>
              <w:t>法人</w:t>
            </w:r>
          </w:p>
          <w:p>
            <w:pPr>
              <w:jc w:val="center"/>
              <w:rPr>
                <w:rFonts w:eastAsia="楷体_GB2312"/>
                <w:b/>
                <w:bCs/>
                <w:sz w:val="32"/>
                <w:szCs w:val="24"/>
                <w:lang w:val="en-US"/>
              </w:rPr>
            </w:pPr>
            <w:r>
              <w:rPr>
                <w:rFonts w:hint="eastAsia" w:ascii="Times New Roman" w:eastAsia="楷体_GB2312" w:cs="楷体_GB2312"/>
                <w:b/>
                <w:bCs/>
                <w:sz w:val="32"/>
                <w:szCs w:val="24"/>
              </w:rPr>
              <w:t>证书》</w:t>
            </w:r>
          </w:p>
          <w:p>
            <w:pPr>
              <w:jc w:val="center"/>
              <w:rPr>
                <w:rFonts w:eastAsia="楷体_GB2312"/>
                <w:b/>
                <w:bCs/>
                <w:sz w:val="32"/>
                <w:szCs w:val="24"/>
                <w:lang w:val="en-US"/>
              </w:rPr>
            </w:pPr>
            <w:r>
              <w:rPr>
                <w:rFonts w:hint="eastAsia" w:ascii="Times New Roman" w:eastAsia="楷体_GB2312" w:cs="楷体_GB2312"/>
                <w:b/>
                <w:bCs/>
                <w:sz w:val="32"/>
                <w:szCs w:val="24"/>
              </w:rPr>
              <w:t>登载</w:t>
            </w:r>
          </w:p>
          <w:p>
            <w:pPr>
              <w:jc w:val="center"/>
              <w:rPr>
                <w:rFonts w:eastAsia="楷体_GB2312"/>
                <w:sz w:val="32"/>
                <w:szCs w:val="24"/>
                <w:lang w:val="en-US"/>
              </w:rPr>
            </w:pPr>
            <w:r>
              <w:rPr>
                <w:rFonts w:hint="eastAsia" w:ascii="Times New Roman" w:eastAsia="楷体_GB2312" w:cs="楷体_GB2312"/>
                <w:b/>
                <w:bCs/>
                <w:sz w:val="32"/>
                <w:szCs w:val="24"/>
              </w:rPr>
              <w:t>事项</w:t>
            </w:r>
          </w:p>
        </w:tc>
        <w:tc>
          <w:tcPr>
            <w:tcW w:w="2031"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color="auto" w:fill="auto"/>
            <w:vAlign w:val="center"/>
          </w:tcPr>
          <w:p>
            <w:pPr>
              <w:spacing w:line="320" w:lineRule="exact"/>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兴和县公共资源交易中心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宗旨和</w:t>
            </w:r>
          </w:p>
          <w:p>
            <w:pPr>
              <w:jc w:val="center"/>
              <w:rPr>
                <w:rFonts w:eastAsia="楷体_GB2312"/>
                <w:b/>
                <w:bCs/>
                <w:sz w:val="32"/>
                <w:szCs w:val="24"/>
                <w:lang w:val="en-US"/>
              </w:rPr>
            </w:pPr>
            <w:r>
              <w:rPr>
                <w:rFonts w:hint="eastAsia" w:ascii="Times New Roman" w:eastAsia="楷体_GB2312" w:cs="楷体_GB2312"/>
                <w:b/>
                <w:bCs/>
                <w:sz w:val="32"/>
                <w:szCs w:val="24"/>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1）贯彻落实国家、自治区、市、关于公共资源交易工作的法规和政策，研究拟订配套的公共资源交易制度、规则和措施，协调推动全县各类公共资源交易平台的整合共享工作，协调行业监管部门对各类公共资源交易活动及中介代理机构进行统一的管理。 （2）承担全县统一的公共资源交易平台和公共资源交易信用信息库的建设、管理、运行维护工作，负责全县公共资源交易信息公开和数据汇集统计工作。 （3）承担全县统一的评标评审专家库建设、使用和管理工作；组织实施评标评审专家库专家的入库、培训、管理、考核、奖惩等工作。 （4）承担管理县本级公共资源交易场所，对公共资源交易项目进场交易过程中的交易各方主体提供管理和服务工作，协同行业监管部门对交易主体进行监督管理。 （5）承担全县政府采购、自然资源、国有产权交易的组织实施和管理服务工作。 （6）承担为纳入县公共资源交易平台的各类公共资源交易活动提供咨询、见证、档案、诚信等公共服务和管理工作，为各类交易主体提供全流程电子化交易服务，为政府相关部门提供技术支持，接受上级政府及相关部门委托提供公共资源交易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住</w:t>
            </w:r>
            <w:r>
              <w:rPr>
                <w:rFonts w:eastAsia="楷体_GB2312"/>
                <w:b/>
                <w:bCs/>
                <w:sz w:val="32"/>
                <w:szCs w:val="24"/>
                <w:lang w:val="en-US"/>
              </w:rPr>
              <w:t xml:space="preserve">    </w:t>
            </w:r>
            <w:r>
              <w:rPr>
                <w:rFonts w:hint="eastAsia" w:ascii="Times New Roman" w:eastAsia="楷体_GB2312" w:cs="楷体_GB2312"/>
                <w:b/>
                <w:bCs/>
                <w:sz w:val="32"/>
                <w:szCs w:val="24"/>
              </w:rPr>
              <w:t>所</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兴和县新城区兴和大道财政局大楼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李文亮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1</w:t>
            </w:r>
            <w:r>
              <w:rPr>
                <w:rStyle w:val="7"/>
                <w:rFonts w:hint="eastAsia" w:ascii="楷体_GB2312" w:eastAsia="楷体_GB2312" w:cs="楷体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rPr>
                <w:sz w:val="32"/>
                <w:szCs w:val="32"/>
                <w:lang w:val="en-US"/>
              </w:rPr>
            </w:pPr>
            <w:r>
              <w:rPr>
                <w:rStyle w:val="7"/>
                <w:rFonts w:hint="eastAsia" w:ascii="楷体_GB2312" w:eastAsia="楷体_GB2312" w:cs="楷体_GB2312"/>
                <w:sz w:val="28"/>
                <w:szCs w:val="28"/>
                <w:lang w:val="en-US"/>
              </w:rPr>
              <w:t>财政补助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pPr>
            <w:r>
              <w:rPr>
                <w:rStyle w:val="7"/>
                <w:rFonts w:hint="eastAsia" w:ascii="楷体_GB2312" w:eastAsia="楷体_GB2312" w:cs="楷体_GB2312"/>
                <w:sz w:val="28"/>
                <w:szCs w:val="28"/>
                <w:lang w:val="en-US"/>
              </w:rPr>
              <w:t>兴和县人民政府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资产</w:t>
            </w:r>
          </w:p>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损益</w:t>
            </w:r>
          </w:p>
          <w:p>
            <w:pPr>
              <w:keepNext w:val="0"/>
              <w:keepLines w:val="0"/>
              <w:widowControl/>
              <w:suppressLineNumbers w:val="0"/>
              <w:jc w:val="center"/>
              <w:rPr>
                <w:rFonts w:eastAsia="楷体_GB2312"/>
                <w:sz w:val="32"/>
                <w:szCs w:val="24"/>
                <w:lang w:val="en-US"/>
              </w:rPr>
            </w:pPr>
            <w:r>
              <w:rPr>
                <w:rFonts w:hint="eastAsia" w:ascii="Times New Roman" w:eastAsia="楷体_GB2312" w:cs="楷体_GB2312"/>
                <w:b/>
                <w:bCs w:val="0"/>
                <w:sz w:val="32"/>
                <w:szCs w:val="24"/>
              </w:rPr>
              <w:t>情况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sz w:val="32"/>
                <w:szCs w:val="24"/>
                <w:lang w:val="en-US"/>
              </w:rPr>
              <w:t>1</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top"/>
          </w:tcPr>
          <w:p>
            <w:pPr>
              <w:jc w:val="center"/>
            </w:pPr>
            <w:r>
              <w:rPr>
                <w:rStyle w:val="7"/>
                <w:sz w:val="32"/>
                <w:szCs w:val="32"/>
                <w:lang w:val="en-US"/>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eastAsia" w:ascii="楷体_GB2312" w:eastAsia="楷体_GB2312" w:cs="楷体_GB2312"/>
                <w:b/>
                <w:bCs/>
                <w:sz w:val="32"/>
                <w:szCs w:val="24"/>
                <w:lang w:val="en-US"/>
              </w:rPr>
            </w:pPr>
            <w:r>
              <w:rPr>
                <w:rFonts w:hint="eastAsia" w:ascii="楷体_GB2312" w:eastAsia="楷体_GB2312" w:cs="楷体_GB2312"/>
                <w:b/>
                <w:bCs/>
                <w:sz w:val="32"/>
                <w:szCs w:val="24"/>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Fonts w:hint="eastAsia" w:ascii="楷体_GB2312" w:eastAsia="楷体_GB2312" w:cs="楷体_GB2312"/>
                <w:b/>
                <w:bCs/>
                <w:sz w:val="32"/>
                <w:szCs w:val="24"/>
                <w:lang w:val="en-US"/>
              </w:rPr>
              <w:t>兴和县公共资源交易中心.公益</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楷体_GB2312" w:eastAsia="楷体_GB2312" w:cs="楷体_GB2312"/>
                <w:sz w:val="32"/>
                <w:szCs w:val="24"/>
                <w:lang w:val="en-US"/>
              </w:rPr>
            </w:pPr>
            <w:r>
              <w:rPr>
                <w:rFonts w:hint="eastAsia" w:ascii="楷体_GB2312" w:eastAsia="楷体_GB2312" w:cs="楷体_GB2312"/>
                <w:b/>
                <w:bCs/>
                <w:sz w:val="32"/>
                <w:szCs w:val="24"/>
              </w:rPr>
              <w:t>从业人数</w:t>
            </w:r>
          </w:p>
        </w:tc>
        <w:tc>
          <w:tcPr>
            <w:tcW w:w="2452"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Style w:val="6"/>
                <w:sz w:val="32"/>
                <w:szCs w:val="24"/>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对《条</w:t>
            </w:r>
          </w:p>
          <w:p>
            <w:pPr>
              <w:jc w:val="center"/>
              <w:rPr>
                <w:rFonts w:eastAsia="楷体_GB2312"/>
                <w:b/>
                <w:bCs/>
                <w:sz w:val="32"/>
                <w:szCs w:val="24"/>
                <w:lang w:val="en-US"/>
              </w:rPr>
            </w:pPr>
            <w:r>
              <w:rPr>
                <w:rFonts w:hint="eastAsia" w:ascii="Times New Roman" w:eastAsia="楷体_GB2312" w:cs="楷体_GB2312"/>
                <w:b/>
                <w:bCs/>
                <w:sz w:val="32"/>
                <w:szCs w:val="24"/>
              </w:rPr>
              <w:t>例》和</w:t>
            </w:r>
          </w:p>
          <w:p>
            <w:pPr>
              <w:jc w:val="center"/>
              <w:rPr>
                <w:rFonts w:eastAsia="楷体_GB2312"/>
                <w:b/>
                <w:bCs/>
                <w:sz w:val="32"/>
                <w:szCs w:val="24"/>
                <w:lang w:val="en-US"/>
              </w:rPr>
            </w:pPr>
            <w:r>
              <w:rPr>
                <w:rFonts w:hint="eastAsia" w:ascii="Times New Roman" w:eastAsia="楷体_GB2312" w:cs="楷体_GB2312"/>
                <w:b/>
                <w:bCs/>
                <w:sz w:val="32"/>
                <w:szCs w:val="24"/>
              </w:rPr>
              <w:t>实施细</w:t>
            </w:r>
          </w:p>
          <w:p>
            <w:pPr>
              <w:jc w:val="center"/>
              <w:rPr>
                <w:rFonts w:eastAsia="楷体_GB2312"/>
                <w:b/>
                <w:bCs/>
                <w:sz w:val="32"/>
                <w:szCs w:val="24"/>
                <w:lang w:val="en-US"/>
              </w:rPr>
            </w:pPr>
            <w:r>
              <w:rPr>
                <w:rFonts w:hint="eastAsia" w:ascii="Times New Roman" w:eastAsia="楷体_GB2312" w:cs="楷体_GB2312"/>
                <w:b/>
                <w:bCs/>
                <w:sz w:val="32"/>
                <w:szCs w:val="24"/>
              </w:rPr>
              <w:t>则有关</w:t>
            </w:r>
          </w:p>
          <w:p>
            <w:pPr>
              <w:jc w:val="center"/>
              <w:rPr>
                <w:rFonts w:eastAsia="楷体_GB2312"/>
                <w:b/>
                <w:bCs/>
                <w:sz w:val="32"/>
                <w:szCs w:val="24"/>
                <w:lang w:val="en-US"/>
              </w:rPr>
            </w:pPr>
            <w:r>
              <w:rPr>
                <w:rFonts w:hint="eastAsia" w:ascii="Times New Roman" w:eastAsia="楷体_GB2312" w:cs="楷体_GB2312"/>
                <w:b/>
                <w:bCs/>
                <w:sz w:val="32"/>
                <w:szCs w:val="24"/>
              </w:rPr>
              <w:t>变更登</w:t>
            </w:r>
          </w:p>
          <w:p>
            <w:pPr>
              <w:jc w:val="center"/>
              <w:rPr>
                <w:rFonts w:eastAsia="楷体_GB2312"/>
                <w:b/>
                <w:bCs/>
                <w:sz w:val="32"/>
                <w:szCs w:val="24"/>
                <w:lang w:val="en-US"/>
              </w:rPr>
            </w:pPr>
            <w:r>
              <w:rPr>
                <w:rFonts w:hint="eastAsia" w:ascii="Times New Roman" w:eastAsia="楷体_GB2312" w:cs="楷体_GB2312"/>
                <w:b/>
                <w:bCs/>
                <w:sz w:val="32"/>
                <w:szCs w:val="24"/>
              </w:rPr>
              <w:t>记规定</w:t>
            </w:r>
          </w:p>
          <w:p>
            <w:pPr>
              <w:jc w:val="center"/>
              <w:rPr>
                <w:rFonts w:eastAsia="楷体_GB2312"/>
                <w:b/>
                <w:bCs/>
                <w:sz w:val="32"/>
                <w:szCs w:val="24"/>
                <w:lang w:val="en-US"/>
              </w:rPr>
            </w:pPr>
            <w:r>
              <w:rPr>
                <w:rFonts w:hint="eastAsia" w:ascii="Times New Roman" w:eastAsia="楷体_GB2312" w:cs="楷体_GB2312"/>
                <w:b/>
                <w:bCs/>
                <w:sz w:val="32"/>
                <w:szCs w:val="24"/>
              </w:rPr>
              <w:t>的执行</w:t>
            </w:r>
          </w:p>
          <w:p>
            <w:pPr>
              <w:jc w:val="center"/>
              <w:rPr>
                <w:rFonts w:eastAsia="楷体_GB2312"/>
                <w:sz w:val="32"/>
                <w:szCs w:val="24"/>
                <w:lang w:val="en-US"/>
              </w:rPr>
            </w:pPr>
            <w:r>
              <w:rPr>
                <w:rFonts w:hint="eastAsia" w:ascii="Times New Roman" w:eastAsia="楷体_GB2312" w:cs="楷体_GB2312"/>
                <w:b/>
                <w:bCs/>
                <w:sz w:val="32"/>
                <w:szCs w:val="24"/>
              </w:rPr>
              <w:t>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w:t>
            </w:r>
          </w:p>
          <w:p>
            <w:pPr>
              <w:jc w:val="center"/>
              <w:rPr>
                <w:rFonts w:eastAsia="楷体_GB2312"/>
                <w:b/>
                <w:bCs/>
                <w:sz w:val="32"/>
                <w:szCs w:val="24"/>
                <w:lang w:val="en-US"/>
              </w:rPr>
            </w:pPr>
            <w:r>
              <w:rPr>
                <w:rFonts w:hint="eastAsia" w:ascii="Times New Roman" w:eastAsia="楷体_GB2312" w:cs="楷体_GB2312"/>
                <w:b/>
                <w:bCs/>
                <w:sz w:val="32"/>
                <w:szCs w:val="24"/>
              </w:rPr>
              <w:t>展</w:t>
            </w:r>
          </w:p>
          <w:p>
            <w:pPr>
              <w:jc w:val="center"/>
              <w:rPr>
                <w:rFonts w:eastAsia="楷体_GB2312"/>
                <w:b/>
                <w:bCs/>
                <w:sz w:val="32"/>
                <w:szCs w:val="24"/>
                <w:lang w:val="en-US"/>
              </w:rPr>
            </w:pPr>
            <w:r>
              <w:rPr>
                <w:rFonts w:hint="eastAsia" w:ascii="Times New Roman" w:eastAsia="楷体_GB2312" w:cs="楷体_GB2312"/>
                <w:b/>
                <w:bCs/>
                <w:sz w:val="32"/>
                <w:szCs w:val="24"/>
              </w:rPr>
              <w:t>业</w:t>
            </w:r>
          </w:p>
          <w:p>
            <w:pPr>
              <w:jc w:val="center"/>
              <w:rPr>
                <w:rFonts w:eastAsia="楷体_GB2312"/>
                <w:b/>
                <w:bCs/>
                <w:sz w:val="32"/>
                <w:szCs w:val="24"/>
                <w:lang w:val="en-US"/>
              </w:rPr>
            </w:pPr>
            <w:r>
              <w:rPr>
                <w:rFonts w:hint="eastAsia" w:ascii="Times New Roman" w:eastAsia="楷体_GB2312" w:cs="楷体_GB2312"/>
                <w:b/>
                <w:bCs/>
                <w:sz w:val="32"/>
                <w:szCs w:val="24"/>
              </w:rPr>
              <w:t>务</w:t>
            </w:r>
          </w:p>
          <w:p>
            <w:pPr>
              <w:jc w:val="center"/>
              <w:rPr>
                <w:rFonts w:eastAsia="楷体_GB2312"/>
                <w:b/>
                <w:bCs/>
                <w:sz w:val="32"/>
                <w:szCs w:val="24"/>
                <w:lang w:val="en-US"/>
              </w:rPr>
            </w:pPr>
            <w:r>
              <w:rPr>
                <w:rFonts w:hint="eastAsia" w:ascii="Times New Roman" w:eastAsia="楷体_GB2312" w:cs="楷体_GB2312"/>
                <w:b/>
                <w:bCs/>
                <w:sz w:val="32"/>
                <w:szCs w:val="24"/>
              </w:rPr>
              <w:t>活</w:t>
            </w:r>
          </w:p>
          <w:p>
            <w:pPr>
              <w:jc w:val="center"/>
              <w:rPr>
                <w:rFonts w:eastAsia="楷体_GB2312"/>
                <w:b/>
                <w:bCs/>
                <w:sz w:val="32"/>
                <w:szCs w:val="24"/>
                <w:lang w:val="en-US"/>
              </w:rPr>
            </w:pPr>
            <w:r>
              <w:rPr>
                <w:rFonts w:hint="eastAsia" w:ascii="Times New Roman" w:eastAsia="楷体_GB2312" w:cs="楷体_GB2312"/>
                <w:b/>
                <w:bCs/>
                <w:sz w:val="32"/>
                <w:szCs w:val="24"/>
              </w:rPr>
              <w:t>动</w:t>
            </w:r>
          </w:p>
          <w:p>
            <w:pPr>
              <w:jc w:val="center"/>
              <w:rPr>
                <w:rFonts w:eastAsia="楷体_GB2312"/>
                <w:b/>
                <w:bCs/>
                <w:sz w:val="32"/>
                <w:szCs w:val="24"/>
                <w:lang w:val="en-US"/>
              </w:rPr>
            </w:pPr>
            <w:r>
              <w:rPr>
                <w:rFonts w:hint="eastAsia" w:ascii="Times New Roman" w:eastAsia="楷体_GB2312" w:cs="楷体_GB2312"/>
                <w:b/>
                <w:bCs/>
                <w:sz w:val="32"/>
                <w:szCs w:val="24"/>
              </w:rPr>
              <w:t>情</w:t>
            </w:r>
          </w:p>
          <w:p>
            <w:pPr>
              <w:jc w:val="center"/>
              <w:rPr>
                <w:u w:val="single"/>
                <w:lang w:val="en-US"/>
              </w:rPr>
            </w:pP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autoSpaceDE w:val="0"/>
              <w:autoSpaceDN w:val="0"/>
              <w:adjustRightInd w:val="0"/>
              <w:snapToGrid w:val="0"/>
              <w:spacing w:line="360" w:lineRule="auto"/>
              <w:rPr>
                <w:rFonts w:hint="eastAsia" w:ascii="楷体_GB2312" w:eastAsia="楷体_GB2312" w:cs="楷体_GB2312"/>
                <w:sz w:val="28"/>
                <w:szCs w:val="24"/>
                <w:lang w:val="en-US"/>
              </w:rPr>
            </w:pPr>
            <w:r>
              <w:rPr>
                <w:rStyle w:val="7"/>
                <w:rFonts w:hint="eastAsia" w:ascii="楷体_GB2312" w:eastAsia="楷体_GB2312" w:cs="楷体_GB2312"/>
                <w:sz w:val="28"/>
                <w:szCs w:val="24"/>
                <w:lang w:val="en-US"/>
              </w:rPr>
              <w:t xml:space="preserve">1、根据事业单位机构改革要求，在县委、政府积极推动下，组建公共资源交易中心，构建了统一的公共资源交易平台 2、建立了完善的公共资源交易服务平台 3、建立了规范的交易运行机制 4、打造公共资源交易全区一张网 5、建立公共资源交易信用体系 6、持续优化营商环境，打造公共资源服务平台 7、积极开展疫情防控工作 8、全力投入乡村振兴工作 </w:t>
            </w:r>
          </w:p>
          <w:p>
            <w:pPr>
              <w:autoSpaceDE w:val="0"/>
              <w:autoSpaceDN w:val="0"/>
              <w:adjustRightInd w:val="0"/>
              <w:snapToGrid w:val="0"/>
              <w:spacing w:line="360" w:lineRule="auto"/>
              <w:rPr>
                <w:rFonts w:hint="eastAsia" w:ascii="楷体_GB2312" w:eastAsia="楷体_GB2312" w:cs="楷体_GB2312"/>
                <w:sz w:val="28"/>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rPr>
                <w:rFonts w:eastAsia="楷体_GB2312"/>
                <w:b/>
                <w:bCs/>
                <w:sz w:val="32"/>
                <w:szCs w:val="24"/>
                <w:lang w:val="en-US"/>
              </w:rPr>
            </w:pPr>
            <w:r>
              <w:rPr>
                <w:rFonts w:hint="eastAsia" w:ascii="Times New Roman" w:eastAsia="楷体_GB2312" w:cs="楷体_GB2312"/>
                <w:b/>
                <w:bCs/>
                <w:sz w:val="32"/>
                <w:szCs w:val="24"/>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4"/>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0" w:lineRule="atLeast"/>
            </w:pPr>
            <w:r>
              <w:rPr>
                <w:rFonts w:hint="eastAsia" w:ascii="Times New Roman" w:eastAsia="楷体_GB2312" w:cs="楷体_GB2312"/>
                <w:b/>
                <w:bCs/>
                <w:sz w:val="32"/>
                <w:szCs w:val="24"/>
              </w:rPr>
              <w:t>绩</w:t>
            </w:r>
            <w:r>
              <w:rPr>
                <w:rFonts w:eastAsia="楷体_GB2312"/>
                <w:b/>
                <w:bCs/>
                <w:sz w:val="32"/>
                <w:szCs w:val="24"/>
              </w:rPr>
              <w:t xml:space="preserve"> </w:t>
            </w:r>
            <w:r>
              <w:rPr>
                <w:rFonts w:hint="eastAsia" w:ascii="Times New Roman" w:eastAsia="楷体_GB2312" w:cs="楷体_GB2312"/>
                <w:b/>
                <w:bCs/>
                <w:sz w:val="32"/>
                <w:szCs w:val="24"/>
              </w:rPr>
              <w:t>效</w:t>
            </w:r>
            <w:r>
              <w:rPr>
                <w:rFonts w:eastAsia="楷体_GB2312"/>
                <w:b/>
                <w:bCs/>
                <w:sz w:val="32"/>
                <w:szCs w:val="24"/>
              </w:rPr>
              <w:t xml:space="preserve"> </w:t>
            </w:r>
            <w:r>
              <w:rPr>
                <w:rFonts w:hint="eastAsia" w:ascii="Times New Roman" w:eastAsia="楷体_GB2312" w:cs="楷体_GB2312"/>
                <w:b/>
                <w:bCs/>
                <w:sz w:val="32"/>
                <w:szCs w:val="24"/>
              </w:rPr>
              <w:t>和受奖惩及诉讼投诉情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spacing w:line="0" w:lineRule="atLeast"/>
              <w:rPr>
                <w:rFonts w:eastAsia="楷体_GB2312"/>
                <w:b/>
                <w:bCs/>
                <w:sz w:val="32"/>
                <w:szCs w:val="24"/>
                <w:lang w:val="en-US"/>
              </w:rPr>
            </w:pPr>
            <w:r>
              <w:rPr>
                <w:rFonts w:hint="eastAsia" w:ascii="Times New Roman" w:eastAsia="楷体_GB2312" w:cs="楷体_GB2312"/>
                <w:b/>
                <w:bCs/>
                <w:sz w:val="32"/>
                <w:szCs w:val="24"/>
              </w:rPr>
              <w:t>接受捐赠</w:t>
            </w:r>
          </w:p>
          <w:p>
            <w:pPr>
              <w:spacing w:line="0" w:lineRule="atLeast"/>
            </w:pPr>
            <w:r>
              <w:rPr>
                <w:rFonts w:hint="eastAsia" w:ascii="Times New Roman" w:eastAsia="楷体_GB2312" w:cs="楷体_GB2312"/>
                <w:b/>
                <w:bCs/>
                <w:sz w:val="32"/>
                <w:szCs w:val="24"/>
              </w:rPr>
              <w:t>资助及使用</w:t>
            </w:r>
            <w:r>
              <w:rPr>
                <w:rFonts w:eastAsia="楷体_GB2312"/>
                <w:b/>
                <w:bCs/>
                <w:sz w:val="32"/>
                <w:szCs w:val="24"/>
              </w:rPr>
              <w:t xml:space="preserve"> </w:t>
            </w:r>
            <w:r>
              <w:rPr>
                <w:rFonts w:hint="eastAsia" w:ascii="Times New Roman" w:eastAsia="楷体_GB2312" w:cs="楷体_GB2312"/>
                <w:b/>
                <w:bCs/>
                <w:sz w:val="32"/>
                <w:szCs w:val="24"/>
              </w:rPr>
              <w:t>情</w:t>
            </w:r>
            <w:r>
              <w:rPr>
                <w:rFonts w:eastAsia="楷体_GB2312"/>
                <w:b/>
                <w:bCs/>
                <w:sz w:val="32"/>
                <w:szCs w:val="24"/>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6"/>
          <w:rFonts w:hint="eastAsia" w:ascii="楷体_GB2312" w:eastAsia="楷体_GB2312" w:cs="楷体_GB2312"/>
          <w:sz w:val="28"/>
          <w:szCs w:val="28"/>
          <w:lang w:val="en-US"/>
        </w:rPr>
        <w:t>师振中</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6"/>
          <w:rFonts w:hint="eastAsia" w:ascii="楷体_GB2312" w:eastAsia="楷体_GB2312" w:cs="楷体_GB2312"/>
          <w:sz w:val="28"/>
          <w:szCs w:val="28"/>
          <w:lang w:val="en-US"/>
        </w:rPr>
        <w:t xml:space="preserve">13614744648  </w:t>
      </w:r>
      <w:r>
        <w:rPr>
          <w:rFonts w:hint="eastAsia" w:ascii="楷体_GB2312" w:eastAsia="楷体_GB2312" w:cs="楷体_GB2312"/>
          <w:b/>
          <w:bCs/>
          <w:sz w:val="28"/>
          <w:szCs w:val="28"/>
          <w:lang w:eastAsia="zh-CN"/>
        </w:rPr>
        <w:t>报送日期：</w:t>
      </w:r>
      <w:r>
        <w:rPr>
          <w:rStyle w:val="6"/>
          <w:rFonts w:hint="eastAsia" w:ascii="楷体_GB2312" w:eastAsia="楷体_GB2312" w:cs="楷体_GB2312"/>
          <w:b/>
          <w:bCs/>
          <w:sz w:val="28"/>
          <w:szCs w:val="28"/>
          <w:lang w:val="en-US"/>
        </w:rPr>
        <w:t>2022年03月08日</w:t>
      </w:r>
    </w:p>
    <w:p>
      <w:bookmarkStart w:id="0" w:name="_GoBack"/>
      <w:bookmarkEnd w:id="0"/>
    </w:p>
    <w:sectPr>
      <w:pgSz w:w="11906" w:h="16838"/>
      <w:pgMar w:top="1440" w:right="1135" w:bottom="1440" w:left="1135"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MDg4NjllMjYzMWRmZTA1NzM3NjVlOTM4YjQ5MTgifQ=="/>
  </w:docVars>
  <w:rsids>
    <w:rsidRoot w:val="4E991C69"/>
    <w:rsid w:val="4E991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basedOn w:val="3"/>
    <w:uiPriority w:val="0"/>
    <w:rPr>
      <w:rFonts w:hint="default" w:ascii="Times New Roman" w:hAnsi="Times New Roman" w:eastAsia="楷体_GB2312" w:cs="Times New Roman"/>
      <w:sz w:val="30"/>
      <w:szCs w:val="24"/>
    </w:rPr>
  </w:style>
  <w:style w:type="character" w:customStyle="1" w:styleId="5">
    <w:name w:val="font51"/>
    <w:basedOn w:val="3"/>
    <w:uiPriority w:val="0"/>
    <w:rPr>
      <w:rFonts w:hint="eastAsia" w:ascii="黑体" w:hAnsi="宋体" w:eastAsia="黑体" w:cs="黑体"/>
      <w:sz w:val="36"/>
      <w:szCs w:val="24"/>
    </w:rPr>
  </w:style>
  <w:style w:type="character" w:customStyle="1" w:styleId="6">
    <w:name w:val="font61"/>
    <w:basedOn w:val="3"/>
    <w:uiPriority w:val="0"/>
    <w:rPr>
      <w:rFonts w:hint="default" w:ascii="Times New Roman" w:hAnsi="Times New Roman" w:eastAsia="楷体_GB2312" w:cs="Times New Roman"/>
      <w:sz w:val="32"/>
      <w:szCs w:val="24"/>
    </w:rPr>
  </w:style>
  <w:style w:type="character" w:customStyle="1" w:styleId="7">
    <w:name w:val="font71"/>
    <w:basedOn w:val="3"/>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2022-06-22T02:14:00Z</dcterms:created>
  <dc:creator>月亮是我踹弯的</dc:creator>
  <cp:lastModifiedBy>月亮是我踹弯的</cp:lastModifiedBy>
  <dcterms:modified xsi:type="dcterms:W3CDTF">2022-06-22T02:14:37Z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6CEBE29D2F25458693691D4A6ACB49D4</vt:lpwstr>
  </property>
</Properties>
</file>