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12152627MB1K75491R</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兴和县网络安全应急指挥中心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兴和县网络安全应急指挥中心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承担网络宣传、网络监看、网络研判等工作。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内蒙古自治区乌兰察布市兴和县党政大楼412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常秀娟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中共兴和县委员会宣传部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兴和县网络安全应急指挥中心.公益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今年以来，兴和县网络安全应急指挥中心按照《党委（党组）网络意识形态工作责任制实施细则》《兴和县强化互联网管理工作方案》要求，加强全县网络意识形态阵地管理，严格落实舆情监测制度，强化对属地网站、微信公众号等新媒体监管，切实做好互联网新闻舆论引导与处置工作，并建立动态巡查、长效督查机制，开展全县网络安全检查抽查，为庆祝中国共产党成立100周年营造了良好网络安全环境。现将今年以来我中心的网络意识形态工作汇报如下： 一、网络意识形态工作总结 （一）健全完善舆情监测应对机制，提升网络应急能力 严格落实《兴和县网络舆情监管应急预案》、《舆情处置流程》，在与各单位、部门建立网络舆情监测联防联动机制的基础上，组建了舆情信息员队伍，加强网络舆情监测，形成预警合力，压实党委（党组）网络意识形态责任，提高全县应对突发互联网网络舆情监管能力，正确引导社会舆论，今年舆论生态企稳向好，网络空间正能量充沛。 （二）开创网络宣传新格局，深化网上正面宣传 一是充分统筹全县网络新媒体平台，构建全县网络宣传体系。指导融媒体中心积极安排部署开辟庆祝建党一百周年相关等专栏进行网上正面宣传。二是运用“互联网+”思维，精心做好网络中国节的宣传报道工作，在电视、报纸、活力兴和等刊载，并借助兴和县网评微信交流群扩散传播，充分展示我县民族文化精神，传播文明新风尚。三是开展网络安全宣传周活动，组织公安局、教体局、工信局、团县委、工会、妇联、人行兴和支行等部门联合开展网络安全进社区、进农村、进机关、进校园、进家庭等宣传普及活动。 （三）开展网络生态治理，营造清朗网络空间 以净化网上舆论环境专项整治工作为统领，持续深入开展了网上“剑网”、“清朗+”、“不利于铸牢中华民族共同体意识信息内容”等专项行动，依法打击整治网上各类违法有害信息。纠正百度百科中有关兴和县民族方面不规范表述。排查新浪微博及知乎经常发布我县负面信息且言语不当的四个自媒体账号，已上报市网信办请求管控。 （四）开展网络安全检查，强化网络安全责任制落实 一是制定印发了《关于开展2021年全县网络安全检查工作的通知》并召开了动员部署大会，联合公安局警支大队开展了全县网络安全检查抽查，对存在问题的7家单位，下达了通</w:t>
            </w:r>
            <w:bookmarkStart w:id="0" w:name="_GoBack"/>
            <w:bookmarkEnd w:id="0"/>
            <w:r>
              <w:rPr>
                <w:rStyle w:val="7"/>
                <w:rFonts w:hint="eastAsia" w:ascii="楷体_GB2312" w:eastAsia="楷体_GB2312" w:cs="楷体_GB2312"/>
                <w:sz w:val="28"/>
                <w:szCs w:val="24"/>
                <w:lang w:val="en-US"/>
              </w:rPr>
              <w:t xml:space="preserve">报责令他们限期整改，并进行跟踪督查，目前7家都已报送整改报告。 二是安全稳妥处置网络安全事件。三是为进一步做好北京冬奥会期间我县网络安全保障工作，制定印发了《兴和县2022年北京奥运会、冬残奥会网络安全保障工作方案》，要求涉网络安全部门、单位在本年度网络安全检查工作的基础上，全面摸清存在的风险隐患，进一步查漏补缺，消除重大安全隐患，全力保障在北京冬奥会期间我县的网络安全。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常秀娟</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15848044904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2022年04月01日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7904213F"/>
    <w:rsid w:val="7904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2022-06-22T02:42:00Z</dcterms:created>
  <dc:creator>月亮是我踹弯的</dc:creator>
  <cp:lastModifiedBy>月亮是我踹弯的</cp:lastModifiedBy>
  <dcterms:modified xsi:type="dcterms:W3CDTF">2022-06-22T02:42:45Z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45E01914190847E9BE927DCBB7132FDF</vt:lpwstr>
  </property>
</Properties>
</file>