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4"/>
          <w:b/>
          <w:bCs/>
          <w:sz w:val="30"/>
          <w:szCs w:val="30"/>
          <w:lang w:val="en-US"/>
        </w:rPr>
        <w:t>12152627353130505L</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4"/>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405" w:type="dxa"/>
            <w:shd w:val="clear" w:color="auto" w:fill="auto"/>
            <w:vAlign w:val="bottom"/>
          </w:tcPr>
          <w:p>
            <w:pPr>
              <w:jc w:val="distribute"/>
            </w:pPr>
            <w:r>
              <w:rPr>
                <w:rStyle w:val="5"/>
                <w:b/>
                <w:bCs/>
                <w:sz w:val="36"/>
                <w:szCs w:val="24"/>
              </w:rPr>
              <w:t>单 位 名 称</w:t>
            </w:r>
          </w:p>
        </w:tc>
        <w:tc>
          <w:tcPr>
            <w:tcW w:w="5294" w:type="dxa"/>
            <w:tcBorders>
              <w:top w:val="nil"/>
              <w:left w:val="nil"/>
              <w:bottom w:val="single" w:color="auto" w:sz="12" w:space="0"/>
              <w:right w:val="nil"/>
            </w:tcBorders>
            <w:shd w:val="clear" w:color="auto" w:fill="auto"/>
            <w:vAlign w:val="bottom"/>
          </w:tcPr>
          <w:p>
            <w:pPr>
              <w:jc w:val="center"/>
              <w:rPr>
                <w:rFonts w:hint="eastAsia" w:ascii="楷体_GB2312" w:eastAsia="楷体_GB2312" w:cs="楷体_GB2312"/>
                <w:sz w:val="32"/>
                <w:szCs w:val="24"/>
                <w:lang w:val="en-US"/>
              </w:rPr>
            </w:pPr>
            <w:r>
              <w:rPr>
                <w:rStyle w:val="6"/>
                <w:rFonts w:hint="eastAsia" w:ascii="楷体_GB2312" w:eastAsia="楷体_GB2312" w:cs="楷体_GB2312"/>
                <w:sz w:val="32"/>
                <w:szCs w:val="24"/>
                <w:lang w:val="en-US"/>
              </w:rPr>
              <w:t>兴和县育才小学</w:t>
            </w:r>
          </w:p>
        </w:tc>
      </w:tr>
    </w:tbl>
    <w:p>
      <w:pPr>
        <w:rPr>
          <w:rFonts w:hint="eastAsia" w:ascii="黑体" w:hAnsi="宋体" w:eastAsia="黑体" w:cs="黑体"/>
          <w:b/>
          <w:bCs/>
          <w:sz w:val="24"/>
          <w:szCs w:val="24"/>
          <w:u w:val="single"/>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365" w:type="dxa"/>
            <w:shd w:val="clear" w:color="auto" w:fill="auto"/>
            <w:vAlign w:val="bottom"/>
          </w:tcPr>
          <w:p>
            <w:pPr>
              <w:jc w:val="distribute"/>
            </w:pPr>
            <w:r>
              <w:rPr>
                <w:rStyle w:val="5"/>
                <w:b/>
                <w:bCs/>
                <w:sz w:val="36"/>
                <w:szCs w:val="24"/>
              </w:rPr>
              <w:t>法</w:t>
            </w:r>
            <w:r>
              <w:rPr>
                <w:rStyle w:val="5"/>
                <w:b/>
                <w:bCs/>
                <w:spacing w:val="30"/>
                <w:sz w:val="36"/>
                <w:szCs w:val="24"/>
              </w:rPr>
              <w:t>定代表</w:t>
            </w:r>
            <w:r>
              <w:rPr>
                <w:rStyle w:val="5"/>
                <w:b/>
                <w:bCs/>
                <w:sz w:val="36"/>
                <w:szCs w:val="24"/>
              </w:rPr>
              <w:t>人</w:t>
            </w:r>
          </w:p>
        </w:tc>
        <w:tc>
          <w:tcPr>
            <w:tcW w:w="5254" w:type="dxa"/>
            <w:tcBorders>
              <w:top w:val="nil"/>
              <w:left w:val="nil"/>
              <w:bottom w:val="single" w:color="auto" w:sz="12" w:space="0"/>
              <w:right w:val="nil"/>
            </w:tcBorders>
            <w:shd w:val="clear" w:color="auto" w:fill="auto"/>
            <w:vAlign w:val="bottom"/>
          </w:tcPr>
          <w:p>
            <w:pPr>
              <w:keepNext w:val="0"/>
              <w:keepLines w:val="0"/>
              <w:widowControl/>
              <w:suppressLineNumbers w:val="0"/>
              <w:jc w:val="left"/>
              <w:rPr>
                <w:kern w:val="0"/>
                <w:sz w:val="20"/>
                <w:szCs w:val="2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《事业</w:t>
            </w:r>
          </w:p>
          <w:p>
            <w:pPr>
              <w:jc w:val="center"/>
              <w:rPr>
                <w:rFonts w:eastAsia="楷体_GB2312"/>
                <w:b/>
                <w:bCs/>
                <w:sz w:val="32"/>
                <w:szCs w:val="24"/>
                <w:lang w:val="en-US"/>
              </w:rPr>
            </w:pPr>
            <w:r>
              <w:rPr>
                <w:rFonts w:hint="eastAsia" w:ascii="Times New Roman" w:eastAsia="楷体_GB2312" w:cs="楷体_GB2312"/>
                <w:b/>
                <w:bCs/>
                <w:sz w:val="32"/>
                <w:szCs w:val="24"/>
              </w:rPr>
              <w:t>单位</w:t>
            </w:r>
          </w:p>
          <w:p>
            <w:pPr>
              <w:jc w:val="center"/>
              <w:rPr>
                <w:rFonts w:eastAsia="楷体_GB2312"/>
                <w:b/>
                <w:bCs/>
                <w:sz w:val="32"/>
                <w:szCs w:val="24"/>
                <w:lang w:val="en-US"/>
              </w:rPr>
            </w:pPr>
            <w:r>
              <w:rPr>
                <w:rFonts w:hint="eastAsia" w:ascii="Times New Roman" w:eastAsia="楷体_GB2312" w:cs="楷体_GB2312"/>
                <w:b/>
                <w:bCs/>
                <w:sz w:val="32"/>
                <w:szCs w:val="24"/>
              </w:rPr>
              <w:t>法人</w:t>
            </w:r>
          </w:p>
          <w:p>
            <w:pPr>
              <w:jc w:val="center"/>
              <w:rPr>
                <w:rFonts w:eastAsia="楷体_GB2312"/>
                <w:b/>
                <w:bCs/>
                <w:sz w:val="32"/>
                <w:szCs w:val="24"/>
                <w:lang w:val="en-US"/>
              </w:rPr>
            </w:pPr>
            <w:r>
              <w:rPr>
                <w:rFonts w:hint="eastAsia" w:ascii="Times New Roman" w:eastAsia="楷体_GB2312" w:cs="楷体_GB2312"/>
                <w:b/>
                <w:bCs/>
                <w:sz w:val="32"/>
                <w:szCs w:val="24"/>
              </w:rPr>
              <w:t>证书》</w:t>
            </w:r>
          </w:p>
          <w:p>
            <w:pPr>
              <w:jc w:val="center"/>
              <w:rPr>
                <w:rFonts w:eastAsia="楷体_GB2312"/>
                <w:b/>
                <w:bCs/>
                <w:sz w:val="32"/>
                <w:szCs w:val="24"/>
                <w:lang w:val="en-US"/>
              </w:rPr>
            </w:pPr>
            <w:r>
              <w:rPr>
                <w:rFonts w:hint="eastAsia" w:ascii="Times New Roman" w:eastAsia="楷体_GB2312" w:cs="楷体_GB2312"/>
                <w:b/>
                <w:bCs/>
                <w:sz w:val="32"/>
                <w:szCs w:val="24"/>
              </w:rPr>
              <w:t>登载</w:t>
            </w:r>
          </w:p>
          <w:p>
            <w:pPr>
              <w:jc w:val="center"/>
              <w:rPr>
                <w:rFonts w:eastAsia="楷体_GB2312"/>
                <w:sz w:val="32"/>
                <w:szCs w:val="24"/>
                <w:lang w:val="en-US"/>
              </w:rPr>
            </w:pPr>
            <w:r>
              <w:rPr>
                <w:rFonts w:hint="eastAsia" w:ascii="Times New Roman" w:eastAsia="楷体_GB2312" w:cs="楷体_GB2312"/>
                <w:b/>
                <w:bCs/>
                <w:sz w:val="32"/>
                <w:szCs w:val="24"/>
              </w:rPr>
              <w:t>事项</w:t>
            </w:r>
          </w:p>
        </w:tc>
        <w:tc>
          <w:tcPr>
            <w:tcW w:w="2031"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color="auto" w:fill="auto"/>
            <w:vAlign w:val="center"/>
          </w:tcPr>
          <w:p>
            <w:pPr>
              <w:spacing w:line="320" w:lineRule="exact"/>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兴和县育才小学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宗旨和</w:t>
            </w:r>
          </w:p>
          <w:p>
            <w:pPr>
              <w:jc w:val="center"/>
              <w:rPr>
                <w:rFonts w:eastAsia="楷体_GB2312"/>
                <w:b/>
                <w:bCs/>
                <w:sz w:val="32"/>
                <w:szCs w:val="24"/>
                <w:lang w:val="en-US"/>
              </w:rPr>
            </w:pPr>
            <w:r>
              <w:rPr>
                <w:rFonts w:hint="eastAsia" w:ascii="Times New Roman" w:eastAsia="楷体_GB2312" w:cs="楷体_GB2312"/>
                <w:b/>
                <w:bCs/>
                <w:sz w:val="32"/>
                <w:szCs w:val="24"/>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实施小学义务教育，促进基础教育的发展。业务范围：小学学历教育。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住</w:t>
            </w:r>
            <w:r>
              <w:rPr>
                <w:rFonts w:eastAsia="楷体_GB2312"/>
                <w:b/>
                <w:bCs/>
                <w:sz w:val="32"/>
                <w:szCs w:val="24"/>
                <w:lang w:val="en-US"/>
              </w:rPr>
              <w:t xml:space="preserve">    </w:t>
            </w:r>
            <w:r>
              <w:rPr>
                <w:rFonts w:hint="eastAsia" w:ascii="Times New Roman" w:eastAsia="楷体_GB2312" w:cs="楷体_GB2312"/>
                <w:b/>
                <w:bCs/>
                <w:sz w:val="32"/>
                <w:szCs w:val="24"/>
              </w:rPr>
              <w:t>所</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兴和县新城区新昌路以东北环以南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袁鹏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938</w:t>
            </w:r>
            <w:r>
              <w:rPr>
                <w:rStyle w:val="7"/>
                <w:rFonts w:hint="eastAsia" w:ascii="楷体_GB2312" w:eastAsia="楷体_GB2312" w:cs="楷体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rPr>
                <w:sz w:val="32"/>
                <w:szCs w:val="32"/>
                <w:lang w:val="en-US"/>
              </w:rPr>
            </w:pPr>
            <w:r>
              <w:rPr>
                <w:rStyle w:val="7"/>
                <w:rFonts w:hint="eastAsia" w:ascii="楷体_GB2312" w:eastAsia="楷体_GB2312" w:cs="楷体_GB2312"/>
                <w:sz w:val="28"/>
                <w:szCs w:val="28"/>
                <w:lang w:val="en-US"/>
              </w:rPr>
              <w:t>财政补助（全额拨款）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pPr>
            <w:r>
              <w:rPr>
                <w:rStyle w:val="7"/>
                <w:rFonts w:hint="eastAsia" w:ascii="楷体_GB2312" w:eastAsia="楷体_GB2312" w:cs="楷体_GB2312"/>
                <w:sz w:val="28"/>
                <w:szCs w:val="28"/>
                <w:lang w:val="en-US"/>
              </w:rPr>
              <w:t>兴和县教育体育局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资产</w:t>
            </w:r>
          </w:p>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损益</w:t>
            </w:r>
          </w:p>
          <w:p>
            <w:pPr>
              <w:keepNext w:val="0"/>
              <w:keepLines w:val="0"/>
              <w:widowControl/>
              <w:suppressLineNumbers w:val="0"/>
              <w:jc w:val="center"/>
              <w:rPr>
                <w:rFonts w:eastAsia="楷体_GB2312"/>
                <w:sz w:val="32"/>
                <w:szCs w:val="24"/>
                <w:lang w:val="en-US"/>
              </w:rPr>
            </w:pPr>
            <w:r>
              <w:rPr>
                <w:rFonts w:hint="eastAsia" w:ascii="Times New Roman" w:eastAsia="楷体_GB2312" w:cs="楷体_GB2312"/>
                <w:b/>
                <w:bCs w:val="0"/>
                <w:sz w:val="32"/>
                <w:szCs w:val="24"/>
              </w:rPr>
              <w:t>情况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sz w:val="32"/>
                <w:szCs w:val="24"/>
                <w:lang w:val="en-US"/>
              </w:rPr>
              <w:t>1022</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top"/>
          </w:tcPr>
          <w:p>
            <w:pPr>
              <w:jc w:val="center"/>
            </w:pPr>
            <w:r>
              <w:rPr>
                <w:rStyle w:val="7"/>
                <w:sz w:val="32"/>
                <w:szCs w:val="32"/>
                <w:lang w:val="en-US"/>
              </w:rPr>
              <w:t>1589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楷体_GB2312" w:eastAsia="楷体_GB2312" w:cs="楷体_GB2312"/>
                <w:b/>
                <w:bCs/>
                <w:sz w:val="32"/>
                <w:szCs w:val="24"/>
                <w:lang w:val="en-US"/>
              </w:rPr>
            </w:pPr>
            <w:r>
              <w:rPr>
                <w:rFonts w:hint="eastAsia" w:ascii="楷体_GB2312" w:eastAsia="楷体_GB2312" w:cs="楷体_GB2312"/>
                <w:b/>
                <w:bCs/>
                <w:sz w:val="32"/>
                <w:szCs w:val="24"/>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Fonts w:hint="eastAsia" w:ascii="楷体_GB2312" w:eastAsia="楷体_GB2312" w:cs="楷体_GB2312"/>
                <w:b/>
                <w:bCs/>
                <w:sz w:val="32"/>
                <w:szCs w:val="24"/>
                <w:lang w:val="en-US"/>
              </w:rPr>
              <w:t>兴和县育才小学.公益</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楷体_GB2312" w:eastAsia="楷体_GB2312" w:cs="楷体_GB2312"/>
                <w:sz w:val="32"/>
                <w:szCs w:val="24"/>
                <w:lang w:val="en-US"/>
              </w:rPr>
            </w:pPr>
            <w:r>
              <w:rPr>
                <w:rFonts w:hint="eastAsia" w:ascii="楷体_GB2312" w:eastAsia="楷体_GB2312" w:cs="楷体_GB2312"/>
                <w:b/>
                <w:bCs/>
                <w:sz w:val="32"/>
                <w:szCs w:val="24"/>
              </w:rPr>
              <w:t>从业人数</w:t>
            </w:r>
          </w:p>
        </w:tc>
        <w:tc>
          <w:tcPr>
            <w:tcW w:w="2452"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Style w:val="6"/>
                <w:sz w:val="32"/>
                <w:szCs w:val="24"/>
                <w:lang w:val="en-US"/>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对《条</w:t>
            </w:r>
          </w:p>
          <w:p>
            <w:pPr>
              <w:jc w:val="center"/>
              <w:rPr>
                <w:rFonts w:eastAsia="楷体_GB2312"/>
                <w:b/>
                <w:bCs/>
                <w:sz w:val="32"/>
                <w:szCs w:val="24"/>
                <w:lang w:val="en-US"/>
              </w:rPr>
            </w:pPr>
            <w:r>
              <w:rPr>
                <w:rFonts w:hint="eastAsia" w:ascii="Times New Roman" w:eastAsia="楷体_GB2312" w:cs="楷体_GB2312"/>
                <w:b/>
                <w:bCs/>
                <w:sz w:val="32"/>
                <w:szCs w:val="24"/>
              </w:rPr>
              <w:t>例》和</w:t>
            </w:r>
          </w:p>
          <w:p>
            <w:pPr>
              <w:jc w:val="center"/>
              <w:rPr>
                <w:rFonts w:eastAsia="楷体_GB2312"/>
                <w:b/>
                <w:bCs/>
                <w:sz w:val="32"/>
                <w:szCs w:val="24"/>
                <w:lang w:val="en-US"/>
              </w:rPr>
            </w:pPr>
            <w:r>
              <w:rPr>
                <w:rFonts w:hint="eastAsia" w:ascii="Times New Roman" w:eastAsia="楷体_GB2312" w:cs="楷体_GB2312"/>
                <w:b/>
                <w:bCs/>
                <w:sz w:val="32"/>
                <w:szCs w:val="24"/>
              </w:rPr>
              <w:t>实施细</w:t>
            </w:r>
          </w:p>
          <w:p>
            <w:pPr>
              <w:jc w:val="center"/>
              <w:rPr>
                <w:rFonts w:eastAsia="楷体_GB2312"/>
                <w:b/>
                <w:bCs/>
                <w:sz w:val="32"/>
                <w:szCs w:val="24"/>
                <w:lang w:val="en-US"/>
              </w:rPr>
            </w:pPr>
            <w:r>
              <w:rPr>
                <w:rFonts w:hint="eastAsia" w:ascii="Times New Roman" w:eastAsia="楷体_GB2312" w:cs="楷体_GB2312"/>
                <w:b/>
                <w:bCs/>
                <w:sz w:val="32"/>
                <w:szCs w:val="24"/>
              </w:rPr>
              <w:t>则有关</w:t>
            </w:r>
          </w:p>
          <w:p>
            <w:pPr>
              <w:jc w:val="center"/>
              <w:rPr>
                <w:rFonts w:eastAsia="楷体_GB2312"/>
                <w:b/>
                <w:bCs/>
                <w:sz w:val="32"/>
                <w:szCs w:val="24"/>
                <w:lang w:val="en-US"/>
              </w:rPr>
            </w:pPr>
            <w:r>
              <w:rPr>
                <w:rFonts w:hint="eastAsia" w:ascii="Times New Roman" w:eastAsia="楷体_GB2312" w:cs="楷体_GB2312"/>
                <w:b/>
                <w:bCs/>
                <w:sz w:val="32"/>
                <w:szCs w:val="24"/>
              </w:rPr>
              <w:t>变更登</w:t>
            </w:r>
          </w:p>
          <w:p>
            <w:pPr>
              <w:jc w:val="center"/>
              <w:rPr>
                <w:rFonts w:eastAsia="楷体_GB2312"/>
                <w:b/>
                <w:bCs/>
                <w:sz w:val="32"/>
                <w:szCs w:val="24"/>
                <w:lang w:val="en-US"/>
              </w:rPr>
            </w:pPr>
            <w:r>
              <w:rPr>
                <w:rFonts w:hint="eastAsia" w:ascii="Times New Roman" w:eastAsia="楷体_GB2312" w:cs="楷体_GB2312"/>
                <w:b/>
                <w:bCs/>
                <w:sz w:val="32"/>
                <w:szCs w:val="24"/>
              </w:rPr>
              <w:t>记规定</w:t>
            </w:r>
          </w:p>
          <w:p>
            <w:pPr>
              <w:jc w:val="center"/>
              <w:rPr>
                <w:rFonts w:eastAsia="楷体_GB2312"/>
                <w:b/>
                <w:bCs/>
                <w:sz w:val="32"/>
                <w:szCs w:val="24"/>
                <w:lang w:val="en-US"/>
              </w:rPr>
            </w:pPr>
            <w:r>
              <w:rPr>
                <w:rFonts w:hint="eastAsia" w:ascii="Times New Roman" w:eastAsia="楷体_GB2312" w:cs="楷体_GB2312"/>
                <w:b/>
                <w:bCs/>
                <w:sz w:val="32"/>
                <w:szCs w:val="24"/>
              </w:rPr>
              <w:t>的执行</w:t>
            </w:r>
          </w:p>
          <w:p>
            <w:pPr>
              <w:jc w:val="center"/>
              <w:rPr>
                <w:rFonts w:eastAsia="楷体_GB2312"/>
                <w:sz w:val="32"/>
                <w:szCs w:val="24"/>
                <w:lang w:val="en-US"/>
              </w:rPr>
            </w:pPr>
            <w:r>
              <w:rPr>
                <w:rFonts w:hint="eastAsia" w:ascii="Times New Roman" w:eastAsia="楷体_GB2312" w:cs="楷体_GB2312"/>
                <w:b/>
                <w:bCs/>
                <w:sz w:val="32"/>
                <w:szCs w:val="24"/>
              </w:rPr>
              <w:t>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w:t>
            </w:r>
          </w:p>
          <w:p>
            <w:pPr>
              <w:jc w:val="center"/>
              <w:rPr>
                <w:rFonts w:eastAsia="楷体_GB2312"/>
                <w:b/>
                <w:bCs/>
                <w:sz w:val="32"/>
                <w:szCs w:val="24"/>
                <w:lang w:val="en-US"/>
              </w:rPr>
            </w:pPr>
            <w:r>
              <w:rPr>
                <w:rFonts w:hint="eastAsia" w:ascii="Times New Roman" w:eastAsia="楷体_GB2312" w:cs="楷体_GB2312"/>
                <w:b/>
                <w:bCs/>
                <w:sz w:val="32"/>
                <w:szCs w:val="24"/>
              </w:rPr>
              <w:t>展</w:t>
            </w:r>
          </w:p>
          <w:p>
            <w:pPr>
              <w:jc w:val="center"/>
              <w:rPr>
                <w:rFonts w:eastAsia="楷体_GB2312"/>
                <w:b/>
                <w:bCs/>
                <w:sz w:val="32"/>
                <w:szCs w:val="24"/>
                <w:lang w:val="en-US"/>
              </w:rPr>
            </w:pPr>
            <w:r>
              <w:rPr>
                <w:rFonts w:hint="eastAsia" w:ascii="Times New Roman" w:eastAsia="楷体_GB2312" w:cs="楷体_GB2312"/>
                <w:b/>
                <w:bCs/>
                <w:sz w:val="32"/>
                <w:szCs w:val="24"/>
              </w:rPr>
              <w:t>业</w:t>
            </w:r>
          </w:p>
          <w:p>
            <w:pPr>
              <w:jc w:val="center"/>
              <w:rPr>
                <w:rFonts w:eastAsia="楷体_GB2312"/>
                <w:b/>
                <w:bCs/>
                <w:sz w:val="32"/>
                <w:szCs w:val="24"/>
                <w:lang w:val="en-US"/>
              </w:rPr>
            </w:pPr>
            <w:r>
              <w:rPr>
                <w:rFonts w:hint="eastAsia" w:ascii="Times New Roman" w:eastAsia="楷体_GB2312" w:cs="楷体_GB2312"/>
                <w:b/>
                <w:bCs/>
                <w:sz w:val="32"/>
                <w:szCs w:val="24"/>
              </w:rPr>
              <w:t>务</w:t>
            </w:r>
          </w:p>
          <w:p>
            <w:pPr>
              <w:jc w:val="center"/>
              <w:rPr>
                <w:rFonts w:eastAsia="楷体_GB2312"/>
                <w:b/>
                <w:bCs/>
                <w:sz w:val="32"/>
                <w:szCs w:val="24"/>
                <w:lang w:val="en-US"/>
              </w:rPr>
            </w:pPr>
            <w:r>
              <w:rPr>
                <w:rFonts w:hint="eastAsia" w:ascii="Times New Roman" w:eastAsia="楷体_GB2312" w:cs="楷体_GB2312"/>
                <w:b/>
                <w:bCs/>
                <w:sz w:val="32"/>
                <w:szCs w:val="24"/>
              </w:rPr>
              <w:t>活</w:t>
            </w:r>
          </w:p>
          <w:p>
            <w:pPr>
              <w:jc w:val="center"/>
              <w:rPr>
                <w:rFonts w:eastAsia="楷体_GB2312"/>
                <w:b/>
                <w:bCs/>
                <w:sz w:val="32"/>
                <w:szCs w:val="24"/>
                <w:lang w:val="en-US"/>
              </w:rPr>
            </w:pPr>
            <w:r>
              <w:rPr>
                <w:rFonts w:hint="eastAsia" w:ascii="Times New Roman" w:eastAsia="楷体_GB2312" w:cs="楷体_GB2312"/>
                <w:b/>
                <w:bCs/>
                <w:sz w:val="32"/>
                <w:szCs w:val="24"/>
              </w:rPr>
              <w:t>动</w:t>
            </w:r>
          </w:p>
          <w:p>
            <w:pPr>
              <w:jc w:val="center"/>
              <w:rPr>
                <w:rFonts w:eastAsia="楷体_GB2312"/>
                <w:b/>
                <w:bCs/>
                <w:sz w:val="32"/>
                <w:szCs w:val="24"/>
                <w:lang w:val="en-US"/>
              </w:rPr>
            </w:pPr>
            <w:r>
              <w:rPr>
                <w:rFonts w:hint="eastAsia" w:ascii="Times New Roman" w:eastAsia="楷体_GB2312" w:cs="楷体_GB2312"/>
                <w:b/>
                <w:bCs/>
                <w:sz w:val="32"/>
                <w:szCs w:val="24"/>
              </w:rPr>
              <w:t>情</w:t>
            </w:r>
          </w:p>
          <w:p>
            <w:pPr>
              <w:jc w:val="center"/>
              <w:rPr>
                <w:u w:val="single"/>
                <w:lang w:val="en-US"/>
              </w:rPr>
            </w:pP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autoSpaceDE w:val="0"/>
              <w:autoSpaceDN w:val="0"/>
              <w:adjustRightInd w:val="0"/>
              <w:snapToGrid w:val="0"/>
              <w:spacing w:line="360" w:lineRule="auto"/>
              <w:rPr>
                <w:rFonts w:hint="eastAsia" w:ascii="楷体_GB2312" w:eastAsia="楷体_GB2312" w:cs="楷体_GB2312"/>
                <w:sz w:val="28"/>
                <w:szCs w:val="24"/>
                <w:lang w:val="en-US"/>
              </w:rPr>
            </w:pPr>
            <w:r>
              <w:rPr>
                <w:rStyle w:val="7"/>
                <w:rFonts w:hint="eastAsia" w:ascii="楷体_GB2312" w:eastAsia="楷体_GB2312" w:cs="楷体_GB2312"/>
                <w:sz w:val="28"/>
                <w:szCs w:val="24"/>
                <w:lang w:val="en-US"/>
              </w:rPr>
              <w:t xml:space="preserve">我校在2021年度内,依据《事业单位登记管理暂行条例》及《条例实施细则》规定,按照登记的宗旨和业务范围积极开展业务活动。一、主要业务活动1、学校办学方向和发展定位进一步明确。广大教职工对学校的办学指导思想、对人才培养质量是学校生命线、对提高教学质量是学校永恒主题的认识进一步加深。开展学校规章制度建设及其他教育管理活动。健全组织结构,完善管理制度,建立起一套适合本校实际的学校管理制度,实现依法办学,依法行政,以此推进了和谐教育,取得较好的社会效益。2、开展学生德育活动。通过多种有效途径加强学生爱国主义教育和公民道德教育,强化法制、安全、心理健康教育,受到较好效果。3、开展教学和教研活动。加强教学常规管理,贯彻落实减负措施。培养学生综个素质,切实开展“经典诵读”活动,有效开展听课、说课与评活动,加强集体备课,增强校本教研实效今后我们在上级部门的正确领导下坚持党的教育方针政策,以书有人为目标,努力学习提高认识转变观念、深化育、教学改革,进一步解放思想立足新起点,以“安保校,环境立校,徳育强校,质量兴校”为发展目我们一定能“聚精会神谋发展,心一意提质量,齐心协力办特色”把我校建设成为“管理有力，职工得力，充满活力，富有实力”的一流学校而不断努力。 </w:t>
            </w:r>
          </w:p>
          <w:p>
            <w:pPr>
              <w:autoSpaceDE w:val="0"/>
              <w:autoSpaceDN w:val="0"/>
              <w:adjustRightInd w:val="0"/>
              <w:snapToGrid w:val="0"/>
              <w:spacing w:line="360" w:lineRule="auto"/>
              <w:rPr>
                <w:rFonts w:hint="eastAsia" w:ascii="楷体_GB2312" w:eastAsia="楷体_GB2312" w:cs="楷体_GB2312"/>
                <w:sz w:val="28"/>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rPr>
                <w:rFonts w:eastAsia="楷体_GB2312"/>
                <w:b/>
                <w:bCs/>
                <w:sz w:val="32"/>
                <w:szCs w:val="24"/>
                <w:lang w:val="en-US"/>
              </w:rPr>
            </w:pPr>
            <w:r>
              <w:rPr>
                <w:rFonts w:hint="eastAsia" w:ascii="Times New Roman" w:eastAsia="楷体_GB2312" w:cs="楷体_GB2312"/>
                <w:b/>
                <w:bCs/>
                <w:sz w:val="32"/>
                <w:szCs w:val="24"/>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4"/>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0" w:lineRule="atLeast"/>
            </w:pPr>
            <w:r>
              <w:rPr>
                <w:rFonts w:hint="eastAsia" w:ascii="Times New Roman" w:eastAsia="楷体_GB2312" w:cs="楷体_GB2312"/>
                <w:b/>
                <w:bCs/>
                <w:sz w:val="32"/>
                <w:szCs w:val="24"/>
              </w:rPr>
              <w:t>绩</w:t>
            </w:r>
            <w:r>
              <w:rPr>
                <w:rFonts w:eastAsia="楷体_GB2312"/>
                <w:b/>
                <w:bCs/>
                <w:sz w:val="32"/>
                <w:szCs w:val="24"/>
              </w:rPr>
              <w:t xml:space="preserve"> </w:t>
            </w:r>
            <w:r>
              <w:rPr>
                <w:rFonts w:hint="eastAsia" w:ascii="Times New Roman" w:eastAsia="楷体_GB2312" w:cs="楷体_GB2312"/>
                <w:b/>
                <w:bCs/>
                <w:sz w:val="32"/>
                <w:szCs w:val="24"/>
              </w:rPr>
              <w:t>效</w:t>
            </w:r>
            <w:r>
              <w:rPr>
                <w:rFonts w:eastAsia="楷体_GB2312"/>
                <w:b/>
                <w:bCs/>
                <w:sz w:val="32"/>
                <w:szCs w:val="24"/>
              </w:rPr>
              <w:t xml:space="preserve"> </w:t>
            </w:r>
            <w:r>
              <w:rPr>
                <w:rFonts w:hint="eastAsia" w:ascii="Times New Roman" w:eastAsia="楷体_GB2312" w:cs="楷体_GB2312"/>
                <w:b/>
                <w:bCs/>
                <w:sz w:val="32"/>
                <w:szCs w:val="24"/>
              </w:rPr>
              <w:t>和受奖惩及诉讼投诉情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spacing w:line="0" w:lineRule="atLeast"/>
              <w:rPr>
                <w:rFonts w:eastAsia="楷体_GB2312"/>
                <w:b/>
                <w:bCs/>
                <w:sz w:val="32"/>
                <w:szCs w:val="24"/>
                <w:lang w:val="en-US"/>
              </w:rPr>
            </w:pPr>
            <w:r>
              <w:rPr>
                <w:rFonts w:hint="eastAsia" w:ascii="Times New Roman" w:eastAsia="楷体_GB2312" w:cs="楷体_GB2312"/>
                <w:b/>
                <w:bCs/>
                <w:sz w:val="32"/>
                <w:szCs w:val="24"/>
              </w:rPr>
              <w:t>接受捐赠</w:t>
            </w:r>
          </w:p>
          <w:p>
            <w:pPr>
              <w:spacing w:line="0" w:lineRule="atLeast"/>
            </w:pPr>
            <w:r>
              <w:rPr>
                <w:rFonts w:hint="eastAsia" w:ascii="Times New Roman" w:eastAsia="楷体_GB2312" w:cs="楷体_GB2312"/>
                <w:b/>
                <w:bCs/>
                <w:sz w:val="32"/>
                <w:szCs w:val="24"/>
              </w:rPr>
              <w:t>资助及使用</w:t>
            </w:r>
            <w:r>
              <w:rPr>
                <w:rFonts w:eastAsia="楷体_GB2312"/>
                <w:b/>
                <w:bCs/>
                <w:sz w:val="32"/>
                <w:szCs w:val="24"/>
              </w:rPr>
              <w:t xml:space="preserve"> </w:t>
            </w:r>
            <w:r>
              <w:rPr>
                <w:rFonts w:hint="eastAsia" w:ascii="Times New Roman" w:eastAsia="楷体_GB2312" w:cs="楷体_GB2312"/>
                <w:b/>
                <w:bCs/>
                <w:sz w:val="32"/>
                <w:szCs w:val="24"/>
              </w:rPr>
              <w:t>情</w:t>
            </w:r>
            <w:r>
              <w:rPr>
                <w:rFonts w:eastAsia="楷体_GB2312"/>
                <w:b/>
                <w:bCs/>
                <w:sz w:val="32"/>
                <w:szCs w:val="24"/>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6"/>
          <w:rFonts w:hint="eastAsia" w:ascii="楷体_GB2312" w:eastAsia="楷体_GB2312" w:cs="楷体_GB2312"/>
          <w:sz w:val="28"/>
          <w:szCs w:val="28"/>
          <w:lang w:val="en-US"/>
        </w:rPr>
        <w:t>党玉桃</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6"/>
          <w:rFonts w:hint="eastAsia" w:ascii="楷体_GB2312" w:eastAsia="楷体_GB2312" w:cs="楷体_GB2312"/>
          <w:sz w:val="28"/>
          <w:szCs w:val="28"/>
          <w:lang w:val="en-US"/>
        </w:rPr>
        <w:t xml:space="preserve">15947689030  </w:t>
      </w:r>
      <w:r>
        <w:rPr>
          <w:rFonts w:hint="eastAsia" w:ascii="楷体_GB2312" w:eastAsia="楷体_GB2312" w:cs="楷体_GB2312"/>
          <w:b/>
          <w:bCs/>
          <w:sz w:val="28"/>
          <w:szCs w:val="28"/>
          <w:lang w:eastAsia="zh-CN"/>
        </w:rPr>
        <w:t>报送日期：</w:t>
      </w:r>
      <w:r>
        <w:rPr>
          <w:rStyle w:val="6"/>
          <w:rFonts w:hint="eastAsia" w:ascii="楷体_GB2312" w:eastAsia="楷体_GB2312" w:cs="楷体_GB2312"/>
          <w:b/>
          <w:bCs/>
          <w:sz w:val="28"/>
          <w:szCs w:val="28"/>
          <w:lang w:val="en-US"/>
        </w:rPr>
        <w:t>2022年03月10日</w:t>
      </w:r>
    </w:p>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MDg4NjllMjYzMWRmZTA1NzM3NjVlOTM4YjQ5MTgifQ=="/>
  </w:docVars>
  <w:rsids>
    <w:rsidRoot w:val="4123297C"/>
    <w:rsid w:val="41232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uiPriority w:val="0"/>
    <w:rPr>
      <w:rFonts w:hint="default" w:ascii="Times New Roman" w:hAnsi="Times New Roman" w:eastAsia="楷体_GB2312" w:cs="Times New Roman"/>
      <w:sz w:val="30"/>
      <w:szCs w:val="24"/>
    </w:rPr>
  </w:style>
  <w:style w:type="character" w:customStyle="1" w:styleId="5">
    <w:name w:val="font51"/>
    <w:basedOn w:val="3"/>
    <w:qFormat/>
    <w:uiPriority w:val="0"/>
    <w:rPr>
      <w:rFonts w:hint="eastAsia" w:ascii="黑体" w:hAnsi="宋体" w:eastAsia="黑体" w:cs="黑体"/>
      <w:sz w:val="36"/>
      <w:szCs w:val="24"/>
    </w:rPr>
  </w:style>
  <w:style w:type="character" w:customStyle="1" w:styleId="6">
    <w:name w:val="font61"/>
    <w:basedOn w:val="3"/>
    <w:uiPriority w:val="0"/>
    <w:rPr>
      <w:rFonts w:hint="default" w:ascii="Times New Roman" w:hAnsi="Times New Roman" w:eastAsia="楷体_GB2312" w:cs="Times New Roman"/>
      <w:sz w:val="32"/>
      <w:szCs w:val="24"/>
    </w:rPr>
  </w:style>
  <w:style w:type="character" w:customStyle="1" w:styleId="7">
    <w:name w:val="font71"/>
    <w:basedOn w:val="3"/>
    <w:qFormat/>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2022-06-24T01:12:00Z</dcterms:created>
  <dc:creator>月亮是我踹弯的</dc:creator>
  <cp:lastModifiedBy>月亮是我踹弯的</cp:lastModifiedBy>
  <dcterms:modified xsi:type="dcterms:W3CDTF">2022-06-24T01:13:08Z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C5800167BE8641D4826345B9232C73DA</vt:lpwstr>
  </property>
</Properties>
</file>