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12152627767892833R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兴和县大库联乡中心学校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兴和县大库联乡中心学校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宗旨:实施小学义务教育，促进基础教育发展.业务范围:小学学历教育.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兴和县大库联乡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史平原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212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兴和县大库联乡中心学校.公益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 xml:space="preserve">2021年度严格执行《条例》和实施细则有关变更登记规定。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我校2021年度教职工考核工作在校委会的组织领导下，由办公室具体组织实施，现已圆满结束。回顾学校教职工年度考核工作，我们做到了科学、规范、公平、公正与公开。现将该项工作总结如下： 一、贯彻文件精神，加强组织领导。 根据上级文件文件精神，结合我校实际，成立了2021年度考核领导小组。并于2021年1月3日召开了全体被考核对象会议，认真学习贯彻了教育局文件精神，强调了年度考核与师德考评及个人平时工作表现、教育教学业绩挂钩，规范了考核程序，严肃了考核纪律，并布置被考核人写好个人述职小结。会上提名推选了学校2022年度考核领导小组。 二、制定考核方案，划片分组测评。 学校年度考核领导小组召开会议，制定了《2021年度考核工作实施方案》，根据被考核对象不同工作性质划分了3个考核小组。各小组进行个人小结述职、民意测评、领导小组考评，确定了各等次人员并上报了学校考核领导小组。 三、规范考核程序，严格把握优 学校考核领导小组举行根据基层小组上报个人测评情况，对照初拟优秀人员平时的工作表现与教育教学业绩，严格按上级规定，确定了6名优秀人员。并进行了公示，公示期间无人提出异议。根据公示，并将无异议的优秀等次人员名单报上级考核领导小组。 学校将所有人员《考核登记表》和考核工作总结、优秀人员有关材料、合格人员汇总表等材料及时报送上级领导组织。总之，我校2021年度教职工考核工作井然有序，严格按上级要求规范操作，确保公平、公正、公开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景海宏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15048436568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2022年03月11日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4973DF6"/>
    <w:rsid w:val="3497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2022-06-27T03:22:00Z</dcterms:created>
  <dc:creator>月亮是我踹弯的</dc:creator>
  <cp:lastModifiedBy>月亮是我踹弯的</cp:lastModifiedBy>
  <dcterms:modified xsi:type="dcterms:W3CDTF">2022-06-27T03:22:17Z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5E649B2A90484E2C84B77E6489B24C1D</vt:lpwstr>
  </property>
</Properties>
</file>